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809750" cy="295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143000" cy="542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0" w:before="1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4"/>
          <w:szCs w:val="24"/>
        </w:rPr>
        <w:t xml:space="preserve">CONCURSO PROVINCIAL DE ROBÓTICA EDUCATIVA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26252B"/>
          <w:sz w:val="20"/>
          <w:szCs w:val="20"/>
        </w:rPr>
        <w:t xml:space="preserve">"ROBOTIC PATAZ 2026: Robótica e Inteligencia Artificial para la Innovación y Transformación del Futuro"</w:t>
      </w:r>
    </w:p>
    <w:p>
      <w:pPr>
        <w:pBdr>
          <w:bottom w:val="single" w:color="762B8A" w:sz="12"/>
        </w:pBd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8"/>
          <w:szCs w:val="28"/>
        </w:rPr>
        <w:t xml:space="preserve">FORMATO DE EVALUACIÓN DEL JURADO CALIFICADOR</w:t>
      </w:r>
    </w:p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DATOS GENERALES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Nombre del proyecto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Institución Educativa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Categoría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☐  RoboStart Pataz      ☐  Tech Explorers      ☐  Desafío Robótico Andino</w:t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Nombre del equipo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CRITERIOS DE EVALUACIÓN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3400"/>
        <w:gridCol w:w="1650"/>
        <w:gridCol w:w="1676"/>
      </w:tblGrid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Criterio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Descripción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Puntaje máximo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Puntaje obtenido</w:t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Innovación y creatividad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Originalidad y propuesta innovadora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20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Funcionalidad del prototipo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Operatividad y cumplimiento del objetivo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20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Aplicación tecnológica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Uso adecuado de Arduino y componentes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15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Impacto social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Relevancia y aporte a la comunidad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15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Programación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Lógica y complejidad del código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15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Presentación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Claridad, dominio y exposición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10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Trabajo en equipo</w:t>
            </w:r>
          </w:p>
        </w:tc>
        <w:tc>
          <w:tcPr>
            <w:tcW w:type="dxa" w:w="34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Organización y participación equitativa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>5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5700"/>
            <w:gridSpan w:val="2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PUNTAJE TOTAL</w:t>
            </w:r>
          </w:p>
        </w:tc>
        <w:tc>
          <w:tcPr>
            <w:tcW w:type="dxa" w:w="165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100 puntos</w:t>
            </w:r>
          </w:p>
        </w:tc>
        <w:tc>
          <w:tcPr>
            <w:tcW w:type="dxa" w:w="167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spacing w:after="60" w:before="16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26252B"/>
          <w:sz w:val="18"/>
          <w:szCs w:val="18"/>
        </w:rPr>
        <w:t xml:space="preserve">Nota: cada criterio se califica según la rúbrica estandarizada aprobada por la UGEL Pataz. En caso de empate, el jurado priorizará el impacto social y la funcionalidad del prototipo. El fallo del jurado es inapelable y se registrará en acta oficial.</w:t>
      </w:r>
    </w:p>
    <w:p>
      <w:pPr>
        <w:shd w:fill="EFE4F3" w:val="clear"/>
        <w:spacing w:after="100" w:before="220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2"/>
          <w:szCs w:val="22"/>
        </w:rPr>
        <w:t xml:space="preserve">  OBSERVACIONES DEL JURADO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1900" w:hRule="atLeast"/>
        </w:trPr>
        <w:tc>
          <w:tcPr>
            <w:tcW w:type="dxa" w:w="90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Nombre del jurado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Firma</w:t>
            </w:r>
          </w:p>
        </w:tc>
      </w:tr>
    </w:tbl>
    <w:p>
      <w:pPr>
        <w:pBdr>
          <w:top w:val="single" w:color="BBB5AC" w:sz="6"/>
        </w:pBdr>
        <w:spacing w:befor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7857A"/>
          <w:sz w:val="18"/>
          <w:szCs w:val="18"/>
        </w:rPr>
        <w:t xml:space="preserve">UGEL Pataz · Financia: Asociación Pataz — Una iniciativa de PODEROSA</w:t>
      </w:r>
    </w:p>
    <w:sectPr>
      <w:pgSz w:w="11906" w:h="16838" w:orient="portrait"/>
      <w:pgMar w:top="1133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f6cc3adfd63b2d3e23dedd228e946e0c16d8efa.png"/><Relationship Id="rId8" Type="http://schemas.openxmlformats.org/officeDocument/2006/relationships/image" Target="media/b56180b601b8d50d315ffcf159e5dd680643c3c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2026-07-18T22:46:14.834Z</dcterms:created>
  <dcterms:modified xsi:type="dcterms:W3CDTF">2026-07-18T22:46:14.834Z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